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843"/>
        <w:gridCol w:w="1559"/>
        <w:gridCol w:w="284"/>
        <w:gridCol w:w="1160"/>
        <w:gridCol w:w="2384"/>
        <w:gridCol w:w="290"/>
        <w:gridCol w:w="3112"/>
        <w:gridCol w:w="248"/>
      </w:tblGrid>
      <w:tr w:rsidR="00911FE9" w:rsidRPr="00911FE9" w:rsidTr="00911FE9">
        <w:trPr>
          <w:trHeight w:val="255"/>
        </w:trPr>
        <w:tc>
          <w:tcPr>
            <w:tcW w:w="1843"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Level</w:t>
            </w:r>
          </w:p>
        </w:tc>
        <w:tc>
          <w:tcPr>
            <w:tcW w:w="155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3544"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Provinsi Papua Barat</w:t>
            </w:r>
          </w:p>
        </w:tc>
        <w:tc>
          <w:tcPr>
            <w:tcW w:w="29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3112"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843"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Komponen</w:t>
            </w:r>
          </w:p>
        </w:tc>
        <w:tc>
          <w:tcPr>
            <w:tcW w:w="155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3544"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C. Kelompok Masyarakat Sipil</w:t>
            </w:r>
          </w:p>
        </w:tc>
        <w:tc>
          <w:tcPr>
            <w:tcW w:w="29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3112"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843"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6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38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9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3112"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3686" w:type="dxa"/>
            <w:gridSpan w:val="3"/>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Isu dalam PGA REDD+</w:t>
            </w:r>
          </w:p>
        </w:tc>
        <w:tc>
          <w:tcPr>
            <w:tcW w:w="6946" w:type="dxa"/>
            <w:gridSpan w:val="4"/>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843"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55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911FE9" w:rsidRPr="00911FE9" w:rsidTr="00911FE9">
        <w:trPr>
          <w:trHeight w:val="255"/>
        </w:trPr>
        <w:tc>
          <w:tcPr>
            <w:tcW w:w="3402"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28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6946" w:type="dxa"/>
            <w:gridSpan w:val="4"/>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134"/>
        <w:gridCol w:w="1544"/>
        <w:gridCol w:w="1001"/>
        <w:gridCol w:w="1566"/>
        <w:gridCol w:w="1109"/>
        <w:gridCol w:w="2010"/>
        <w:gridCol w:w="1382"/>
      </w:tblGrid>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226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notulensi dan absensi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aktifis-LSM yang aktif memberikan masukan pada perencanaan wilayah dan kehutanan belum memadai. Hanya ada PERDU, WWF, SAMDANA Institure, CI, Kamuki.  Di Papua Barat keberadaan LSM ini belum memadai, misalnya seperti di Papua, dimana WWF dimasukkan dalam tim perumus RTRW. Di Papua Barat tudak, karena yang mengerjakan konsultan BAPPEDA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690"/>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PU</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notulensi dan absensi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Belum ada aktifis LSM yang datang ke PU untuk memberikan masukan perencanaan wilayah</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2655"/>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notulensi dan absensi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belum memadai dalam sisi substansi, karena proses penyusunan RTRW tidak dikonsultasikan secara terbuka terutama kepada unsur di luar pemerintah kecuali SKPD-SKPD dan universitas/akademisi. Selebihnya perwakilan masyarakat tidak diberi ruang hanya formalitas saja. Untuk kemampuan mengartikulasi kondisi obyektif tata ruang dan kehutanan, kepentingan masyarakat adat/lokal </w:t>
            </w:r>
            <w:r w:rsidRPr="00911FE9">
              <w:rPr>
                <w:rFonts w:ascii="Times New Roman" w:eastAsia="Times New Roman" w:hAnsi="Times New Roman" w:cs="Times New Roman"/>
                <w:color w:val="000000"/>
                <w:sz w:val="20"/>
                <w:szCs w:val="20"/>
                <w:lang w:eastAsia="id-ID"/>
              </w:rPr>
              <w:lastRenderedPageBreak/>
              <w:t>dan kelestarian hutan , aktifis LSM sudah bisa memperjuangkan kepentingan masyarakat</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2</w:t>
            </w:r>
          </w:p>
        </w:tc>
      </w:tr>
      <w:tr w:rsidR="00911FE9" w:rsidRPr="00911FE9" w:rsidTr="00911FE9">
        <w:trPr>
          <w:trHeight w:val="1530"/>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notulensi dan absensi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memadai. Karena walaupun ada, beberapa LSM  ingin memberikan masukan, bahkan asistensi untuk perencanaan tata ruang, tapi masih ada masalah koordinasi. Rencana tata ruang dan wilayah dilakukan oleh pemerintah sendiri, Inisiatif ada, tapi kesempatan tidak ada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275"/>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notulensi dan absensi rapat</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aktifis-LSM  yang aktif memberikan masukan pada perencanaan wilayah dan dan kehutanan banyak dan memadai dari sisi kapasitas. Dalam forum-forum konsultasi selalu dilibatkan dan cukup artikulatif. Contohnya seperti PERDU, YALHUD, dll</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1275"/>
        </w:trPr>
        <w:tc>
          <w:tcPr>
            <w:tcW w:w="1139" w:type="dxa"/>
            <w:vMerge w:val="restart"/>
            <w:tcBorders>
              <w:top w:val="nil"/>
              <w:left w:val="single" w:sz="4" w:space="0" w:color="auto"/>
              <w:bottom w:val="single" w:sz="4" w:space="0" w:color="000000"/>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notulensi dan absensi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Materi yang disampaikan aktifis LSM  dalam pertemuan pembahasan perencanaan wilayah dan kehutanan cukup memadai. Secara parsial memadai karena biasanya masing-masing fokus di kawasan tertentu. Tapi tidak secara keseluruhan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510"/>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PU</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notulensi dan absensi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pernah berhubungan dengan LSM sehingga tidak tahu materinya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765"/>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notulensi dan absensi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Sudah cukup memadai karena berbasiskan data-data lapangan sehingga </w:t>
            </w:r>
            <w:r w:rsidRPr="00911FE9">
              <w:rPr>
                <w:rFonts w:ascii="Times New Roman" w:eastAsia="Times New Roman" w:hAnsi="Times New Roman" w:cs="Times New Roman"/>
                <w:color w:val="000000"/>
                <w:sz w:val="20"/>
                <w:szCs w:val="20"/>
                <w:lang w:eastAsia="id-ID"/>
              </w:rPr>
              <w:lastRenderedPageBreak/>
              <w:t>usulan-usulan yang diajukan berdasarkan masalah yang terjadi.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3</w:t>
            </w:r>
          </w:p>
        </w:tc>
      </w:tr>
      <w:tr w:rsidR="00911FE9" w:rsidRPr="00911FE9" w:rsidTr="00911FE9">
        <w:trPr>
          <w:trHeight w:val="1950"/>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notulensi dan absensi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Sudah memadai, karena LSM punya pengalaman dan update informasi berdasarkan apa yang ada di lapangan. Misalnya berkaitan dengan rencana tata ruang dan wilayah terkait dengan ruang terbuka hijau, LSM memberikan saran, tapi penyusunan masih tumpang tindih, bahkan hasilnya justru dialihfungsikan.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2580"/>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notulensi dan absensi rapat</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Sangat memadai, mampu mengartikulasi ketiga isu dalam perencanaan wilayah &amp; kehutanan (kondisi objektif tata ruang &amp; kegutanan, kepentingan masyarakadat/lokal dan kelestarian hutan) . Materi yang disampaikan aktifis-LSM dalam pertemuan pembahasan perencanaan wilayah dan kehutanan sangat memadai karena data yang dibawa aktifis selalu berdasarkan fakta di lapangan dan sangat ilmiah</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5</w:t>
            </w: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5686" w:type="dxa"/>
            <w:gridSpan w:val="4"/>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CIb1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Jumlah akademisi yang aktif memberikan masukan pada perencanaan wilayah dan kehutanan cukup memadai. Kira-kira ada 10 akademisi UNIPA yang terlibat aktif memberikan masukan ke semua </w:t>
            </w:r>
            <w:r w:rsidRPr="00911FE9">
              <w:rPr>
                <w:rFonts w:ascii="Times New Roman" w:eastAsia="Times New Roman" w:hAnsi="Times New Roman" w:cs="Times New Roman"/>
                <w:color w:val="000000"/>
                <w:sz w:val="20"/>
                <w:szCs w:val="20"/>
                <w:lang w:eastAsia="id-ID"/>
              </w:rPr>
              <w:lastRenderedPageBreak/>
              <w:t>instansi. Ada MoU dengan UNIPA untuk melibatkan mereka dalam setiap kegiatan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3</w:t>
            </w:r>
          </w:p>
        </w:tc>
      </w:tr>
      <w:tr w:rsidR="00911FE9" w:rsidRPr="00911FE9" w:rsidTr="00911FE9">
        <w:trPr>
          <w:trHeight w:val="127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PU</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akademisi yang  aktif memberikan masukan pada perencanaan wilayah dan kehutanan kurang memadai. Beberpa kali diperkenalkan tata ruang ke akademisi taou belum banyak yang diberikan kepada PU</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02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Ada, tapi jumlahmya kurang memadai karena yang dilibatkan biasanya terbatas UNIPA saja padahal ada banyak perguruan tinggi lain yang bisa dilibatkan juga.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27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Sudah memadai, misalnya dari Fakultas Kehutanan memberikan asistensi berkaitan dengan bidang keahliannya, kira-kira ada 15 orang jumlahnya dari UNIPA. Dari STIH memberikan asistensi legal aspek terkait regulasi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229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CIb2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Materi yang disampaikan akademisi dalam pertemuan pembahasan perencanaan wilayah dan kehutanan sangat memadai. Akademisi  selalu punya data-data dari risetnya dan kajian-kajian sosial akademisi membantu. Misalnya masalah hutan sagu. Masyarakat takut hutan sagu punah. Akademisi memberi pengetahuan  tentang budi tanam sagu sehingga masyarakat tidak perlu takut hutan sagu punah</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5</w:t>
            </w:r>
          </w:p>
        </w:tc>
      </w:tr>
      <w:tr w:rsidR="00911FE9" w:rsidRPr="00911FE9" w:rsidTr="00911FE9">
        <w:trPr>
          <w:trHeight w:val="127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PU</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Materi yang disampaikan akademisi dalam pertemuan pembahasan perencanaan wilayah dan kehutanan memadai, karena berbagai disiplin ilmu dan temuan di lapangan, akademisi sebetulnya bisa memberikan banyak masukan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61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Sudah cukup memadai karena biasanya materi datang dari riset-riset yang dilakukan akademisi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373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Sangat memadai, sesuai dengan kapasitas akademisi yang mengetahui </w:t>
            </w:r>
            <w:r w:rsidRPr="00911FE9">
              <w:rPr>
                <w:rFonts w:ascii="Times New Roman" w:eastAsia="Times New Roman" w:hAnsi="Times New Roman" w:cs="Times New Roman"/>
                <w:i/>
                <w:iCs/>
                <w:color w:val="000000"/>
                <w:sz w:val="20"/>
                <w:szCs w:val="20"/>
                <w:lang w:eastAsia="id-ID"/>
              </w:rPr>
              <w:t>State of Art</w:t>
            </w:r>
            <w:r w:rsidRPr="00911FE9">
              <w:rPr>
                <w:rFonts w:ascii="Times New Roman" w:eastAsia="Times New Roman" w:hAnsi="Times New Roman" w:cs="Times New Roman"/>
                <w:color w:val="000000"/>
                <w:sz w:val="20"/>
                <w:szCs w:val="20"/>
                <w:lang w:eastAsia="id-ID"/>
              </w:rPr>
              <w:t>, kondisi di lapangan, regulasi baik global maupun nasional. Materi akademisi sangat memadai. Tapi ketika bertemu dengan kepentingan pengambil kebijakan, masukan yang diberikan terbentur dengan kepentingan tersebut. Misalnya dalam kasus alih fungsi kawasan hutan lindung Wosi Rendani. Sudah ada masukan dari akademisi dan LSM, tapi akhirnya tetap menjadi wilayah pemukiman. Dan dalam kasus HPH, ketika diusulkan oleh akademisi untuk tidak diperpanjang dan bisa dijadikan lahan untuk kepentingan REDD+, pada akhirnya HPH tetap diperpanjang</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5</w:t>
            </w: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690"/>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911FE9">
              <w:rPr>
                <w:rFonts w:ascii="Times New Roman" w:eastAsia="Times New Roman" w:hAnsi="Times New Roman" w:cs="Times New Roman"/>
                <w:b/>
                <w:bCs/>
                <w:color w:val="000000"/>
                <w:sz w:val="20"/>
                <w:szCs w:val="20"/>
                <w:lang w:eastAsia="id-ID"/>
              </w:rPr>
              <w:br/>
              <w:t xml:space="preserve">       </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5686" w:type="dxa"/>
            <w:gridSpan w:val="4"/>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lastRenderedPageBreak/>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204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 kurang memadai. Belum terlalu banyak masyarakat asli yang menunjukkan pada publik penyimpangan prosedur. Yang aktif justru koordinator bukan masyarakat asli.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229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PU</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 kurang memadai. Kelompok masyarakat sipil baru saja menyadari pentingnya Tata Ruang. Baru Juni 2012 disosialisasikan kepada masyarakat pentinganya Tata Ruang melalui sekolah-sekolah, kelurahan-kelurahan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76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Secara konsisten sangat kurang, karena ruang yang diberikan tidak memadai dan ada ketakutan masyarakat untuk melakukan gal tersebut. </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53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Sudah memadai, karena memang  ada kelompok </w:t>
            </w:r>
            <w:r w:rsidRPr="00911FE9">
              <w:rPr>
                <w:rFonts w:ascii="Times New Roman" w:eastAsia="Times New Roman" w:hAnsi="Times New Roman" w:cs="Times New Roman"/>
                <w:i/>
                <w:iCs/>
                <w:color w:val="000000"/>
                <w:sz w:val="20"/>
                <w:szCs w:val="20"/>
                <w:lang w:eastAsia="id-ID"/>
              </w:rPr>
              <w:t>civil society</w:t>
            </w:r>
            <w:r w:rsidRPr="00911FE9">
              <w:rPr>
                <w:rFonts w:ascii="Times New Roman" w:eastAsia="Times New Roman" w:hAnsi="Times New Roman" w:cs="Times New Roman"/>
                <w:color w:val="000000"/>
                <w:sz w:val="20"/>
                <w:szCs w:val="20"/>
                <w:lang w:eastAsia="id-ID"/>
              </w:rPr>
              <w:t xml:space="preserve"> yang memang  memiliki hak ulayat. Hanya saja, mereka muncul kalau ada kasus saja sehingga hanya berfungsi pada kontrol penyimpangan prosedur saja. </w:t>
            </w:r>
            <w:r w:rsidRPr="00911FE9">
              <w:rPr>
                <w:rFonts w:ascii="Times New Roman" w:eastAsia="Times New Roman" w:hAnsi="Times New Roman" w:cs="Times New Roman"/>
                <w:color w:val="000000"/>
                <w:sz w:val="20"/>
                <w:szCs w:val="20"/>
                <w:lang w:eastAsia="id-ID"/>
              </w:rPr>
              <w:lastRenderedPageBreak/>
              <w:t>Sementara pada potensi kerugian, LSM lah yang lebih aktif.</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4</w:t>
            </w:r>
          </w:p>
        </w:tc>
      </w:tr>
      <w:tr w:rsidR="00911FE9" w:rsidRPr="00911FE9" w:rsidTr="00911FE9">
        <w:trPr>
          <w:trHeight w:val="409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 cukup. Ketika datang ke media, kelompok masyarakat sipil membawa data yang bagus. Indikator-indikator yang mereka gunakan sangat ilmiah untuk dishare ke media sehingga transparan, tapi tidak intens dan tidak teratur. Soal intensitas juga tergantung pada isu, misalnya untuk isu illegal lodging, masyarakat sipil lebih aktif. Sehingga bisa dilihat, masyarakat  sipil intens membagi informasi, tapi kalau soal potensi pelanggaran, masyarakat sipil jarang memberikan informasi.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CIc2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Kemampuan kelompok masyarakat sipil yang menunjukkan penyimpangan prosedur dan potensi kerugian akibat perencanaan wilayah dan kehutanan tidak memadai, jarena lebih banyak LSM yang melakukan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163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PU</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Belum tahu kemampuan kelompok masyarakat sipil yang menunjukkan penyimpangan prosedur dan potensi kerugian akibat </w:t>
            </w:r>
            <w:r w:rsidRPr="00911FE9">
              <w:rPr>
                <w:rFonts w:ascii="Times New Roman" w:eastAsia="Times New Roman" w:hAnsi="Times New Roman" w:cs="Times New Roman"/>
                <w:color w:val="000000"/>
                <w:sz w:val="20"/>
                <w:szCs w:val="20"/>
                <w:lang w:eastAsia="id-ID"/>
              </w:rPr>
              <w:lastRenderedPageBreak/>
              <w:t>perencanaan wilayah dan kehutanan. Tapi mereka sudah paham pengendalian Tata Ruang  diperlukan untuk mereka sendiri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1</w:t>
            </w:r>
          </w:p>
        </w:tc>
      </w:tr>
      <w:tr w:rsidR="00911FE9" w:rsidRPr="00911FE9" w:rsidTr="00911FE9">
        <w:trPr>
          <w:trHeight w:val="51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memadai, meskipun sudah terjadi kasus di wilayahnya, namun seringkali dianggap biasa.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92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Kemampuan kelompok masyarakat sipil yang menunjukkan penyimpangan prosedur dan potensi kerugian akibat perencanaan wilayah dan kehutanan kurang memadai dibandingkan dengan jumlah kerugian yang dialami. Lebih banyak kerugiannya apabila dilihat dari kasus per kasus yang terungkap</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02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 absensi dan notulensi rapat</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Kemampuan kelompok masyarakat sipil yang menunjukkan penyimpangan prosedur dan potensi kerugian akibat perencanaan wilayah dan kehutanan cukup memadai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360"/>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7068" w:type="dxa"/>
            <w:gridSpan w:val="5"/>
            <w:tcBorders>
              <w:top w:val="nil"/>
              <w:left w:val="nil"/>
              <w:bottom w:val="single" w:sz="4" w:space="0" w:color="auto"/>
              <w:right w:val="nil"/>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911FE9">
              <w:rPr>
                <w:rFonts w:ascii="Times New Roman" w:eastAsia="Times New Roman" w:hAnsi="Times New Roman" w:cs="Times New Roman"/>
                <w:b/>
                <w:bCs/>
                <w:color w:val="000000"/>
                <w:sz w:val="20"/>
                <w:szCs w:val="20"/>
                <w:lang w:eastAsia="id-ID"/>
              </w:rPr>
              <w:br/>
            </w: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CId1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aktivis-LSM/jaringan LSM yang mendampingi masyarakat melakukan pemetaan wilayah jumlah kurang memadai karena hanya ada PERDU dan SAMDANA yang bergerak di pemetaan wilayah</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02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PU</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aktifis LSM.jaringan LSm yang mendampingi masyarakat melakukan pemetaan wilayah kurnag memadai karena LSM hanya bergerak di lokasi-lokasi tertentu</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02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memadai, karena hanya sebatas memberi pelatihan-pelatihan saja, sementara untuk proses pemetaan wilayahnya  sedikit sekali yang sudah melakukan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76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Organisasi Masyarakat Adat Lokal</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Karena baru, LMA belum, bisa beri info ,engenai LSM. Tapi diketahui cukup banyak, misalnya ELSAM Papua, Foker, dll</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102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Belum  memadai, hanya beberapa aktivis di SAMDANA dan WWF saja yang melakukannya. Dibandingkan dengan Papua, Papua Barat masih sangat kurang.</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306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Jumlah aktivis-LSM/jaringan LSM yang mendampingi masyarakat melakukan pemetaan wilayah kurang memadai kalau dilihat dari luas wilayahnya, karena  ada LSM yang membagi wilayah pemberdayaan berdasarkan wilayah adat sehingga tidak  semua tercover. Tidak terlalu jelas apakah semua aktifis-LSM mendampingi masyarakat melakukan pemetaan wilayah secara teratur atau tidak, karena beberapa LSM melakukannya dengan teratur dan sebagian  tidak lagi teratur melakukannya karena masalah dana dan beberapa karena </w:t>
            </w:r>
            <w:r w:rsidRPr="00911FE9">
              <w:rPr>
                <w:rFonts w:ascii="Times New Roman" w:eastAsia="Times New Roman" w:hAnsi="Times New Roman" w:cs="Times New Roman"/>
                <w:color w:val="000000"/>
                <w:sz w:val="20"/>
                <w:szCs w:val="20"/>
                <w:lang w:eastAsia="id-ID"/>
              </w:rPr>
              <w:lastRenderedPageBreak/>
              <w:t>tergantung tingkat kepercayaan masyarakat juga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2</w:t>
            </w:r>
          </w:p>
        </w:tc>
      </w:tr>
      <w:tr w:rsidR="00911FE9" w:rsidRPr="00911FE9" w:rsidTr="00911FE9">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CId2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Kemampuan aktifis LSM/jaringan LSM yang mendampingi masyarakat melakukan pemetaan wilayah memadai.  Tapi jangkauan tidak luas dan komunikasi tidak intens</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76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PU</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Kemampuan aktifis LSm/jaringan LSm sangat memadai tapi sangat tergantung pada kesadaran masyarakat juga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5</w:t>
            </w:r>
          </w:p>
        </w:tc>
      </w:tr>
      <w:tr w:rsidR="00911FE9" w:rsidRPr="00911FE9" w:rsidTr="00911FE9">
        <w:trPr>
          <w:trHeight w:val="76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Cukup memadai, bahkan dapat akses untuk pengelolaan pemetaan yang sudah dilakukan, namun belum belum direvisi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255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Organisasi Masyarakat Adat Lokal</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Kemampuan aktifis LSM/jaringan LSM yang mendampingi masyarakat melakukan pemetaan wilayah kurang memadai. Ada beberapa kasus yang tidak mamp diangkat LSM. Misalnya soal HPH, desa-desa sekitarnya belum sejahtera karena UU Perhut no. 40. Jelas-jelas menjelaskan HPH  harus bisa memberdayakan masyarakat setempat. CSR belum dibidik oleh LSM, contohnya di  Fak Fak  HPH Prabu Alaska Arfakindra (1989-2019). LSM hanya bicara sial kompensasi dan tidak bicara soal pemberdayaan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84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Sudah memadai, karena berpengalaman dan melibatkan teman-teman yang paham spasial baik terkait dengan pemetaan atau perencaan wilayah</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1058"/>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 Kemampuan aktifis-LSM yang mendampingi masyarakat melakukan pemetaan wilayah cukup memadai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600"/>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911FE9">
              <w:rPr>
                <w:rFonts w:ascii="Times New Roman" w:eastAsia="Times New Roman" w:hAnsi="Times New Roman" w:cs="Times New Roman"/>
                <w:b/>
                <w:bCs/>
                <w:color w:val="000000"/>
                <w:sz w:val="20"/>
                <w:szCs w:val="20"/>
                <w:lang w:eastAsia="id-ID"/>
              </w:rPr>
              <w:br/>
              <w:t xml:space="preserve">       </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(LSM: Pengurus)</w:t>
            </w: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CIe1</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Sumber dana yang dipergunakan LSM/jaringan LSM melakukan pendampingan ada yg di[eroleh dari Samdhana Institute. Selain itu ada technical asisten dari JKPP</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600"/>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911FE9">
              <w:rPr>
                <w:rFonts w:ascii="Times New Roman" w:eastAsia="Times New Roman" w:hAnsi="Times New Roman" w:cs="Times New Roman"/>
                <w:b/>
                <w:bCs/>
                <w:color w:val="000000"/>
                <w:sz w:val="20"/>
                <w:szCs w:val="20"/>
                <w:lang w:eastAsia="id-ID"/>
              </w:rPr>
              <w:br/>
              <w:t xml:space="preserve">       </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(LSM: Pengurus)</w:t>
            </w: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CIf1</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Prosedur penyampaian hasil atau proses partisipasi</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tidak terjadi. Seharusnya ada, tapi seringkali ambil jalan pintas. Misalnya ketika BAPEDALDA menyusun dokumen AMDAL, dipublish di media, tapi mekanisme untuk masukan, saran dan info tidak memadai. Tidak ada email atau website yang </w:t>
            </w:r>
            <w:r w:rsidRPr="00911FE9">
              <w:rPr>
                <w:rFonts w:ascii="Times New Roman" w:eastAsia="Times New Roman" w:hAnsi="Times New Roman" w:cs="Times New Roman"/>
                <w:color w:val="000000"/>
                <w:sz w:val="20"/>
                <w:szCs w:val="20"/>
                <w:lang w:eastAsia="id-ID"/>
              </w:rPr>
              <w:lastRenderedPageBreak/>
              <w:t>disediakan untuk hal tersebut.</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1</w:t>
            </w:r>
          </w:p>
        </w:tc>
      </w:tr>
      <w:tr w:rsidR="00911FE9" w:rsidRPr="00911FE9" w:rsidTr="00911FE9">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CIf2</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Standarisasi isi laporan hasil atau proses partisipasi</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memenuhi standar yang layak karena keterbukaan kurang. Misalnya dokumen amdal MEDCO diminta , dilempar kesana kemari.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CIf3</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Forum penyampaian hasil atau proses partisipasi</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Mekanisme pelaporan balik hasil atau proses partisipasi mengatur forum penyampaian hasil atau proses partisipasi tidak cukup memenuhi kelayakan karena ruang yang diberikan kurang</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CIf4</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Penetapan peserta forum penyampaian hasil atau proses partisipasi</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Penetapan peserta forum penyampaian hasil atau proses partisipasi sangat kurang akomodatif karena masih pilih-pilih siapa yang diikutsertakan dalam forum, dan cakupannya kurang luas</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CIf5</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Mekanisme penyampaian masukan dari peserta forum</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Jauh dari memadai, karena prosedur  hanya formalitas, substansi jauh dari apa yang harus dilakukan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3817" w:type="dxa"/>
            <w:gridSpan w:val="3"/>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Isu dalam PGA REDD+</w:t>
            </w:r>
          </w:p>
        </w:tc>
        <w:tc>
          <w:tcPr>
            <w:tcW w:w="5686" w:type="dxa"/>
            <w:gridSpan w:val="4"/>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660"/>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7068" w:type="dxa"/>
            <w:gridSpan w:val="5"/>
            <w:tcBorders>
              <w:top w:val="nil"/>
              <w:left w:val="nil"/>
              <w:bottom w:val="single" w:sz="4" w:space="0" w:color="auto"/>
              <w:right w:val="nil"/>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CIIa1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Belum memadai karena jumlahnya masih sangat sedikit. Hanya LP3BH saja yang punya perhatian ke legal issues. Itu pun belum cukup intensif menginisiasi legal drafting terkait dengan masyarakata adat/lokal</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27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Belum memadai, karena hanya ada beberapa orang saja yang paham legal drafting dan kebanyakan LSM lingkungan sifatnya bergerak di teknis konservasi lingkungan. Ada LBH dan SAMDANA, tapi mereka tidak terlalu intens kegiatannya.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11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Biro Hukum Pemda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Belum ada LSm yang mengelola/merancang  peraturan yang terlihat ikut menyusun terkait dengan masyarakat adat. Tidak tahu keberadaan LSM yang punya kemampuan itu</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CIIa2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Bukti keikutsertaan dalam pelatihan perancangan peraturan</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Hal tersebut tidak ada di PERDU. Di lembaga lain mungkin ada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51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Ada tapi jumlahnya kurang. Seharusnya ada pelatihan yang lebih advance.</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06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Biro Hukum Pemda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tahu ada tidaknya lSM yang ikut pelatihan perancangan peraturan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CIIa3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Lama waktu kerja sebagai legal drafter</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Berapa lama waktu kerja yang di-miliki aktivis-LSM sebagai legal drafter?</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cukup memadai karena setidaknya mereka sudah 2 tahun mendampingi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76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memadai, mereka biasanya melakukannya tidak dalam waktu yang lama karena disesuaikan dengan dana mereka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60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Biro Hukum Pemda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tahu LSM yang bekerja sebagai legal drafter</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630"/>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911FE9">
              <w:rPr>
                <w:rFonts w:ascii="Times New Roman" w:eastAsia="Times New Roman" w:hAnsi="Times New Roman" w:cs="Times New Roman"/>
                <w:b/>
                <w:bCs/>
                <w:color w:val="000000"/>
                <w:sz w:val="20"/>
                <w:szCs w:val="20"/>
                <w:lang w:eastAsia="id-ID"/>
              </w:rPr>
              <w:br/>
              <w:t xml:space="preserve">   </w:t>
            </w:r>
          </w:p>
        </w:tc>
      </w:tr>
      <w:tr w:rsidR="00911FE9" w:rsidRPr="00911FE9" w:rsidTr="00911FE9">
        <w:trPr>
          <w:trHeight w:val="34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7068" w:type="dxa"/>
            <w:gridSpan w:val="5"/>
            <w:tcBorders>
              <w:top w:val="nil"/>
              <w:left w:val="nil"/>
              <w:bottom w:val="single" w:sz="4" w:space="0" w:color="auto"/>
              <w:right w:val="nil"/>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61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CIIb1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jumlahnya kurang memadai. Karena yang terlibat hanya beberapa orang saja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220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Belum memadai,  di STIH saja hanya beberapa orang (sekitar 3 orang) yang memiliki ketrampilan tersebut. Di UNIPA ada 2 orang dan belum terlalu intensif dipanggil sebagai legal drafter, hanya kalau ada kasus saja. Biasanya dalam isu tertentu biro hukum atau Bappeda memanggil akademisi, misalnya dalam perda pembatasan kayu gergaji, Gubernur beberapa kali memamanggil.</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76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Biro Hukum Pemda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Belum tahu ada akademisi yang punye ketrampilan itu. Arahannya ke Raperdasus UU 21  tapi belum ada kontak dengan mereka sampai sekarang</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CIIb2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Bukti keikutsertaan dalam pelatihan perancangan peraturan</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Apakah akademisi yang memiliki keterampilan perancangan per-aturan (legal drafting) terkait dengan masyarakat adat/lokal me-miliki bukti keikutsertaan dalam pelatihan perancangan </w:t>
            </w:r>
            <w:r w:rsidRPr="00911FE9">
              <w:rPr>
                <w:rFonts w:ascii="Times New Roman" w:eastAsia="Times New Roman" w:hAnsi="Times New Roman" w:cs="Times New Roman"/>
                <w:color w:val="000000"/>
                <w:sz w:val="20"/>
                <w:szCs w:val="20"/>
                <w:lang w:eastAsia="id-ID"/>
              </w:rPr>
              <w:lastRenderedPageBreak/>
              <w:t>peraturan?</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akademisi yang memiliki ketrampilan perancangan peraturan (legal drafting) terakit dengan masyarakat adat/lokal ikut dalam pelatihan perancangan peraturan (legal drafting) sudah banyak tapi yang secara substansi bisa legal drafting sedikit</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53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Tidak ada bukti akademisi yang memiliki kemampuan perancanganperaturan (legal drafting) terkait dengan masyarakat adat/lokal mengenai keikutertaannya dalam pelatihan perancangan peraturan. Tapi akademisi memiliki </w:t>
            </w:r>
            <w:r w:rsidRPr="00911FE9">
              <w:rPr>
                <w:rFonts w:ascii="Times New Roman" w:eastAsia="Times New Roman" w:hAnsi="Times New Roman" w:cs="Times New Roman"/>
                <w:i/>
                <w:iCs/>
                <w:color w:val="000000"/>
                <w:sz w:val="20"/>
                <w:szCs w:val="20"/>
                <w:lang w:eastAsia="id-ID"/>
              </w:rPr>
              <w:t>state of art</w:t>
            </w:r>
            <w:r w:rsidRPr="00911FE9">
              <w:rPr>
                <w:rFonts w:ascii="Times New Roman" w:eastAsia="Times New Roman" w:hAnsi="Times New Roman" w:cs="Times New Roman"/>
                <w:color w:val="000000"/>
                <w:sz w:val="20"/>
                <w:szCs w:val="20"/>
                <w:lang w:eastAsia="id-ID"/>
              </w:rPr>
              <w:t xml:space="preserve">, sifatnya insidental dan selalu update ilmu. </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51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Biro Hukum Pemda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Tidak pernah kontak dengan akademisi sehingga tidak tahu </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CIIb3</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Lama waktu kerja sebagai legal drafter</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Berapa lama waktu kerja yang di-miliki akademisi sebagai legal drafter?</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Waktu kerja yang dimiliki akademisi sebagai legal drafter sudah cukup, karena sejak otonomi khusus diperjuangkan legal drafting cukup intensif. Inisiatif banyak dilakukan, tapi hasilnya sedikit</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51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Akademisi</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Cukup memadai karena akademisi yang terlibat dalam legal drafting sudah bekerja lebih dari 5 tahun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51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Biro Hukum Pemda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pernah kontak dengan akademisi yang bekerja sebagai legal drafter</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720"/>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911FE9">
              <w:rPr>
                <w:rFonts w:ascii="Times New Roman" w:eastAsia="Times New Roman" w:hAnsi="Times New Roman" w:cs="Times New Roman"/>
                <w:b/>
                <w:bCs/>
                <w:color w:val="000000"/>
                <w:sz w:val="20"/>
                <w:szCs w:val="20"/>
                <w:lang w:eastAsia="id-ID"/>
              </w:rPr>
              <w:br/>
              <w:t xml:space="preserve">   </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3676" w:type="dxa"/>
            <w:gridSpan w:val="3"/>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(Pengurus: LSM &amp; Masyarakat Adat)</w:t>
            </w: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70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CIIc1</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LSM/jaringan LSM cukup memadai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76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Organisasi Masyarakat Adat Lokal</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Belum tahu persis data jumlah LSM/jaringan LSM yang memiliki program pemantauan pengaturan hak masyarakat  adat/lokal terhadap hutan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d. Kode etik yang dipergunakan oleh LSM/jaringan LSM dalam melakukan pemantauan</w:t>
            </w:r>
            <w:r w:rsidRPr="00911FE9">
              <w:rPr>
                <w:rFonts w:ascii="Times New Roman" w:eastAsia="Times New Roman" w:hAnsi="Times New Roman" w:cs="Times New Roman"/>
                <w:b/>
                <w:bCs/>
                <w:color w:val="000000"/>
                <w:sz w:val="20"/>
                <w:szCs w:val="20"/>
                <w:lang w:eastAsia="id-ID"/>
              </w:rPr>
              <w:br/>
              <w:t xml:space="preserve">   </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7068" w:type="dxa"/>
            <w:gridSpan w:val="5"/>
            <w:tcBorders>
              <w:top w:val="nil"/>
              <w:left w:val="nil"/>
              <w:bottom w:val="single" w:sz="4" w:space="0" w:color="auto"/>
              <w:right w:val="nil"/>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911FE9">
              <w:rPr>
                <w:rFonts w:ascii="Times New Roman" w:eastAsia="Times New Roman" w:hAnsi="Times New Roman" w:cs="Times New Roman"/>
                <w:b/>
                <w:bCs/>
                <w:color w:val="000000"/>
                <w:sz w:val="20"/>
                <w:szCs w:val="20"/>
                <w:lang w:eastAsia="id-ID"/>
              </w:rPr>
              <w:br/>
            </w: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CIId1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Kode etik memasukkan prinsip-prinsip good governance (6 prinsip)</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Kode etik yang digunakan oleh LSM/jaringan LSM dalam melakukan pemantauan  sangat memadai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5</w:t>
            </w:r>
          </w:p>
        </w:tc>
      </w:tr>
      <w:tr w:rsidR="00911FE9" w:rsidRPr="00911FE9" w:rsidTr="00911FE9">
        <w:trPr>
          <w:trHeight w:val="76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sudah cukup memasukkan prinsip-prinsip  good governance hanya saja sustainabilitynya yang masih belum tercapai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1620"/>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Organisasi Masyarakat Adat Lokal</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paham betul soal prinsip-prinsip tersebut, tapi kalau dilihat dari kegagalan  LSM menyangkut kesejahteraan masyarakat, maka bisa  dilihat  sebagai kegagalan LSM menerapkan prinsp-prinsip good governance</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CIId2</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Kredibilitas kode etik yang dipergunakan</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Kredibilitas kode etik yang digunakan oleh LSM/jaringan LSM dalam melakukan pemantauan sudah baik, karena biasanya dilanjutkan dengan workshop dan dinas kehutanan diundang untuk menjadi nara sumber</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25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sudah baik karena berdasarkan fakta dan apa adanya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765"/>
        </w:trPr>
        <w:tc>
          <w:tcPr>
            <w:tcW w:w="1139"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Organisasi Masyarakat Adat Lokal</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Karena samapai hari ini LSM hanya nama, orang-orang nya ada tapi tidak berbuat sesuai harapan masyarakat adat hari ini</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61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911FE9">
              <w:rPr>
                <w:rFonts w:ascii="Times New Roman" w:eastAsia="Times New Roman" w:hAnsi="Times New Roman" w:cs="Times New Roman"/>
                <w:b/>
                <w:bCs/>
                <w:color w:val="000000"/>
                <w:sz w:val="20"/>
                <w:szCs w:val="20"/>
                <w:lang w:eastAsia="id-ID"/>
              </w:rPr>
              <w:br/>
              <w:t xml:space="preserve">       potensi kerugian masyarakat akibat permasalahan hak atas hutan dan </w:t>
            </w:r>
            <w:r w:rsidRPr="00911FE9">
              <w:rPr>
                <w:rFonts w:ascii="Times New Roman" w:eastAsia="Times New Roman" w:hAnsi="Times New Roman" w:cs="Times New Roman"/>
                <w:b/>
                <w:bCs/>
                <w:color w:val="000000"/>
                <w:sz w:val="20"/>
                <w:szCs w:val="20"/>
                <w:lang w:eastAsia="id-ID"/>
              </w:rPr>
              <w:lastRenderedPageBreak/>
              <w:t>lahan</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lastRenderedPageBreak/>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7068" w:type="dxa"/>
            <w:gridSpan w:val="5"/>
            <w:tcBorders>
              <w:top w:val="nil"/>
              <w:left w:val="nil"/>
              <w:bottom w:val="single" w:sz="4" w:space="0" w:color="auto"/>
              <w:right w:val="nil"/>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2040"/>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CIIe1</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000000" w:fill="000000"/>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3817" w:type="dxa"/>
            <w:gridSpan w:val="3"/>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Isu dalam PGA REDD+</w:t>
            </w:r>
          </w:p>
        </w:tc>
        <w:tc>
          <w:tcPr>
            <w:tcW w:w="5686" w:type="dxa"/>
            <w:gridSpan w:val="4"/>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7068" w:type="dxa"/>
            <w:gridSpan w:val="5"/>
            <w:tcBorders>
              <w:top w:val="nil"/>
              <w:left w:val="nil"/>
              <w:bottom w:val="single" w:sz="4" w:space="0" w:color="auto"/>
              <w:right w:val="nil"/>
            </w:tcBorders>
            <w:shd w:val="clear" w:color="auto" w:fill="auto"/>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785"/>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CIIIa1</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memadai, karena jumlah LSM yang fokus pada hutan saja terbatas dan jarang bertahan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5686" w:type="dxa"/>
            <w:gridSpan w:val="4"/>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xml:space="preserve">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LSM (Pengurus terkait isu keterwakilan gender)</w:t>
            </w: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CIIIb1</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000000" w:fill="000000"/>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1109" w:type="dxa"/>
            <w:tcBorders>
              <w:top w:val="nil"/>
              <w:left w:val="nil"/>
              <w:bottom w:val="single" w:sz="4" w:space="0" w:color="auto"/>
              <w:right w:val="single" w:sz="4" w:space="0" w:color="auto"/>
            </w:tcBorders>
            <w:shd w:val="clear" w:color="000000" w:fill="000000"/>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sudah memadai karena mempertimbangkan: Substansi/relevansi isu dengan kompetensi representasi, mengupayakan peran perempuan, dan pemerataan kesempatan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1530"/>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CIIIb2</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000000" w:fill="000000"/>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1109" w:type="dxa"/>
            <w:tcBorders>
              <w:top w:val="nil"/>
              <w:left w:val="nil"/>
              <w:bottom w:val="single" w:sz="4" w:space="0" w:color="auto"/>
              <w:right w:val="single" w:sz="4" w:space="0" w:color="auto"/>
            </w:tcBorders>
            <w:shd w:val="clear" w:color="000000" w:fill="000000"/>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Mekanisme pemilihan wakil LSM dalam lembaga/forum multi-pihak  di PERDU sendiri sudah memadai dengan pertimbangan-pertimbangan dalam poin diatas. Tapi di LSM lain kurang memadai, karena hanya sebagian kecil, mayoritas yang hadir itu-itu saja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CIIIb3</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forum pemilihan wakil LSM dalam lembaga/forum multipihak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000000" w:fill="000000"/>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1109" w:type="dxa"/>
            <w:tcBorders>
              <w:top w:val="nil"/>
              <w:left w:val="nil"/>
              <w:bottom w:val="single" w:sz="4" w:space="0" w:color="auto"/>
              <w:right w:val="single" w:sz="4" w:space="0" w:color="auto"/>
            </w:tcBorders>
            <w:shd w:val="clear" w:color="000000" w:fill="000000"/>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cukup memadai di PERDU tapi tidak di lembaga lain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001"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LSM, Polisi</w:t>
            </w:r>
          </w:p>
        </w:tc>
        <w:tc>
          <w:tcPr>
            <w:tcW w:w="1566"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945"/>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CIIIc1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54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001" w:type="dxa"/>
            <w:tcBorders>
              <w:top w:val="nil"/>
              <w:left w:val="nil"/>
              <w:bottom w:val="single" w:sz="4" w:space="0" w:color="auto"/>
              <w:right w:val="single" w:sz="4" w:space="0" w:color="auto"/>
            </w:tcBorders>
            <w:shd w:val="clear" w:color="000000" w:fill="F2DDDC"/>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Polres</w:t>
            </w:r>
          </w:p>
        </w:tc>
        <w:tc>
          <w:tcPr>
            <w:tcW w:w="6067" w:type="dxa"/>
            <w:gridSpan w:val="4"/>
            <w:tcBorders>
              <w:top w:val="single" w:sz="4" w:space="0" w:color="auto"/>
              <w:left w:val="nil"/>
              <w:bottom w:val="single" w:sz="4" w:space="0" w:color="auto"/>
              <w:right w:val="single" w:sz="4" w:space="0" w:color="000000"/>
            </w:tcBorders>
            <w:shd w:val="clear" w:color="000000" w:fill="F2DDDC"/>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w:t>
            </w:r>
          </w:p>
        </w:tc>
      </w:tr>
      <w:tr w:rsidR="00911FE9" w:rsidRPr="00911FE9" w:rsidTr="00911FE9">
        <w:trPr>
          <w:trHeight w:val="765"/>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memadai karena yang mengkampanyekan sangat sedikit dan kalaupun ada baru sebatas menggunakan media massa saja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3817" w:type="dxa"/>
            <w:gridSpan w:val="3"/>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Isu dalam PGA REDD+</w:t>
            </w:r>
          </w:p>
        </w:tc>
        <w:tc>
          <w:tcPr>
            <w:tcW w:w="5686" w:type="dxa"/>
            <w:gridSpan w:val="4"/>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lastRenderedPageBreak/>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LSM (Pengurus), Pejabat Pemberi Izin, Jurnalis</w:t>
            </w: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275"/>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CIVa1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544" w:type="dxa"/>
            <w:vMerge w:val="restart"/>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Kehutanan</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LSM yang melakukan monitoring pemberian izin dalam kawasan hutan dan pengelolaan kawasan konservasi tidak memadai. Yang sering memberikan komentar biasanya adalah dari Green Peace tapi tidak secara lembaga.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1275"/>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memadai karena sulit untuk mendapat informasi terkait rencana pemberian ijin dan ketika ada informasi sulit untuk mendapatkan data langsung mengenai ijin tersebut, karena dalam prakteknya sering mendapat ancaman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815"/>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auto"/>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 Jumlah LSM yang melakukan monitoring pemberian izin di dalam kawasan hutan dan pengelolaan kawasan konservasi memadai, namun mereka tidak melakukannya dengan intens. Mereka menguasai peraturan, tapi hal tersebut tidak cukup karena mereka kurang intens melakukannya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911FE9" w:rsidRPr="00911FE9" w:rsidTr="00911FE9">
        <w:trPr>
          <w:trHeight w:val="510"/>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001"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LSM (Aktivis)</w:t>
            </w:r>
          </w:p>
        </w:tc>
        <w:tc>
          <w:tcPr>
            <w:tcW w:w="1566"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10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CIVb1</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Pemahaman terhadap prinsip &amp; prosedur</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Apakah pemahaman aktivis LSM ter-hadap prinsip &amp; prosedur pemberian izin dan pengelolaan </w:t>
            </w:r>
            <w:r w:rsidRPr="00911FE9">
              <w:rPr>
                <w:rFonts w:ascii="Times New Roman" w:eastAsia="Times New Roman" w:hAnsi="Times New Roman" w:cs="Times New Roman"/>
                <w:color w:val="000000"/>
                <w:sz w:val="20"/>
                <w:szCs w:val="20"/>
                <w:lang w:eastAsia="id-ID"/>
              </w:rPr>
              <w:lastRenderedPageBreak/>
              <w:t>kawasan kon-servasi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cukup memadai. Pernah dapat surat dari Bappeda tentang fungsi alih hutan, responnya terlalu reaksioner.</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CIVb2</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Strategi pelaksanaan monitoring</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memadai, masih parsial, dan tergantung ada dana atau tidak</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CIVb3</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Bukti Keikutsertaan dalam pelatihan monitoring</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Keikutsertaan LSM dalam pelatihan monitoring memadai karena sudah beberapa kali ada pelatihan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5686" w:type="dxa"/>
            <w:gridSpan w:val="4"/>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Pelaksanaan peningkatan kapasitas (Pengurus LSM) dan Masyarakat Adat/Lokal (Pengurus)</w:t>
            </w:r>
            <w:r w:rsidRPr="00911FE9">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51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CIVc1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54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cukup memadai, kira-kira da 40 lebih</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2265"/>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Organisasi Masyarakat Adat Lokal</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LSM yang aktif melakukan peningkatan kapasitas masyarakat adat dan lokal untuk mengelila hutan kurang memadai karena lebih banyak bicata tentang hak ulayat masyarakat sebagai mediator antara masyarakat dengan perusahaan dan tiadk fokus pada bagaimana pemberdayaan masyarakatnya.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08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CIVc2</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154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000000" w:fill="000000"/>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1109" w:type="dxa"/>
            <w:tcBorders>
              <w:top w:val="nil"/>
              <w:left w:val="nil"/>
              <w:bottom w:val="single" w:sz="4" w:space="0" w:color="auto"/>
              <w:right w:val="single" w:sz="4" w:space="0" w:color="auto"/>
            </w:tcBorders>
            <w:shd w:val="clear" w:color="000000" w:fill="000000"/>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Pelaksanaan peningkatan kapasitas masyarakat adat dan lokal untuk mengelola hutan kurang memadai, hanya 6 intensif</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765"/>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Organisasi Masyarakat Adat </w:t>
            </w:r>
            <w:r w:rsidRPr="00911FE9">
              <w:rPr>
                <w:rFonts w:ascii="Times New Roman" w:eastAsia="Times New Roman" w:hAnsi="Times New Roman" w:cs="Times New Roman"/>
                <w:color w:val="000000"/>
                <w:sz w:val="20"/>
                <w:szCs w:val="20"/>
                <w:lang w:eastAsia="id-ID"/>
              </w:rPr>
              <w:lastRenderedPageBreak/>
              <w:t>Lokal</w:t>
            </w:r>
          </w:p>
        </w:tc>
        <w:tc>
          <w:tcPr>
            <w:tcW w:w="1566" w:type="dxa"/>
            <w:tcBorders>
              <w:top w:val="nil"/>
              <w:left w:val="nil"/>
              <w:bottom w:val="single" w:sz="4" w:space="0" w:color="auto"/>
              <w:right w:val="single" w:sz="4" w:space="0" w:color="auto"/>
            </w:tcBorders>
            <w:shd w:val="clear" w:color="000000" w:fill="000000"/>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lastRenderedPageBreak/>
              <w:t> </w:t>
            </w:r>
          </w:p>
        </w:tc>
        <w:tc>
          <w:tcPr>
            <w:tcW w:w="1109" w:type="dxa"/>
            <w:tcBorders>
              <w:top w:val="nil"/>
              <w:left w:val="nil"/>
              <w:bottom w:val="single" w:sz="4" w:space="0" w:color="auto"/>
              <w:right w:val="single" w:sz="4" w:space="0" w:color="auto"/>
            </w:tcBorders>
            <w:shd w:val="clear" w:color="000000" w:fill="000000"/>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Belum dilaksanakan karena LMA baru berdiri 1 tahun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Isu dalam PGA REDD+</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xml:space="preserve">: V. Pengendalian dan Penegakan Hukum  </w:t>
            </w: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5686" w:type="dxa"/>
            <w:gridSpan w:val="4"/>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Pelaksanaan LSM, Masyarakat pelapor</w:t>
            </w:r>
            <w:r w:rsidRPr="00911FE9">
              <w:rPr>
                <w:rFonts w:ascii="Times New Roman" w:eastAsia="Times New Roman" w:hAnsi="Times New Roman" w:cs="Times New Roman"/>
                <w:b/>
                <w:bCs/>
                <w:color w:val="000000"/>
                <w:sz w:val="20"/>
                <w:szCs w:val="20"/>
                <w:lang w:eastAsia="id-ID"/>
              </w:rPr>
              <w:br/>
            </w: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125"/>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CVa1</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LSM yang menerima pe-ngaduan masyarakat terkait ma-salah kehutanan</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Berapa jumlah pengaduan ma-syarakat yang diterima LSM?</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pengaduan masyarakat yang diterima LSM sedang, karena, LSM yang fokus ke terhadap hal tersebut masih terbatas jumlahnya dan LSM yang punya komunitas dampingan juga terbatas</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1785"/>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CVa2</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Isu pengaduan: </w:t>
            </w:r>
            <w:r w:rsidRPr="00911FE9">
              <w:rPr>
                <w:rFonts w:ascii="Times New Roman" w:eastAsia="Times New Roman" w:hAnsi="Times New Roman" w:cs="Times New Roman"/>
                <w:color w:val="000000"/>
                <w:sz w:val="20"/>
                <w:szCs w:val="20"/>
                <w:lang w:eastAsia="id-ID"/>
              </w:rPr>
              <w:br/>
              <w:t xml:space="preserve">a) Korupsi &amp; Kejahatan Kehutanan, </w:t>
            </w:r>
            <w:r w:rsidRPr="00911FE9">
              <w:rPr>
                <w:rFonts w:ascii="Times New Roman" w:eastAsia="Times New Roman" w:hAnsi="Times New Roman" w:cs="Times New Roman"/>
                <w:color w:val="000000"/>
                <w:sz w:val="20"/>
                <w:szCs w:val="20"/>
                <w:lang w:eastAsia="id-ID"/>
              </w:rPr>
              <w:br/>
              <w:t xml:space="preserve">b) Perencanaan, </w:t>
            </w:r>
            <w:r w:rsidRPr="00911FE9">
              <w:rPr>
                <w:rFonts w:ascii="Times New Roman" w:eastAsia="Times New Roman" w:hAnsi="Times New Roman" w:cs="Times New Roman"/>
                <w:color w:val="000000"/>
                <w:sz w:val="20"/>
                <w:szCs w:val="20"/>
                <w:lang w:eastAsia="id-ID"/>
              </w:rPr>
              <w:br/>
              <w:t>c) Hak &amp; Pengelolaan hutan &amp; lahan gambut</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Pengaduan yang masuk dari masyarakat dominan pada isu : Kejahatan Kehutanan serta Hak &amp; Pengelolaan Hutan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r>
      <w:tr w:rsidR="00911FE9" w:rsidRPr="00911FE9" w:rsidTr="00911FE9">
        <w:trPr>
          <w:trHeight w:val="510"/>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CVa3</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SOP penerimaan pengaduan</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SOP penerimaan pengaduan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SOP cukup memadai </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3</w:t>
            </w:r>
          </w:p>
        </w:tc>
      </w:tr>
      <w:tr w:rsidR="00911FE9" w:rsidRPr="00911FE9" w:rsidTr="00911FE9">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CVa4</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Staf yang khusus ditugaskan menerima pengaduan</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SOP penerimaan pengaduan sudah memadai?</w:t>
            </w:r>
          </w:p>
        </w:tc>
        <w:tc>
          <w:tcPr>
            <w:tcW w:w="1001"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staf khusus</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Isu dalam PGA REDD+</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VI. Infrastruktur REDD+</w:t>
            </w: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5686" w:type="dxa"/>
            <w:gridSpan w:val="4"/>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LSM (Pengurus), Satgas REDD+</w:t>
            </w:r>
            <w:r w:rsidRPr="00911FE9">
              <w:rPr>
                <w:rFonts w:ascii="Times New Roman" w:eastAsia="Times New Roman" w:hAnsi="Times New Roman" w:cs="Times New Roman"/>
                <w:b/>
                <w:bCs/>
                <w:color w:val="000000"/>
                <w:sz w:val="20"/>
                <w:szCs w:val="20"/>
                <w:lang w:eastAsia="id-ID"/>
              </w:rPr>
              <w:br/>
            </w: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315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CVIa1</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LSM yang melakukan monitoring terhadap persiapan dan pelaksanaan REDD+</w:t>
            </w:r>
          </w:p>
        </w:tc>
        <w:tc>
          <w:tcPr>
            <w:tcW w:w="1544"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Satgas REDD+</w:t>
            </w:r>
          </w:p>
        </w:tc>
        <w:tc>
          <w:tcPr>
            <w:tcW w:w="1566" w:type="dxa"/>
            <w:vMerge w:val="restart"/>
            <w:tcBorders>
              <w:top w:val="nil"/>
              <w:left w:val="single" w:sz="4" w:space="0" w:color="auto"/>
              <w:bottom w:val="single" w:sz="4" w:space="0" w:color="000000"/>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Dalam SK Gubernur Papua Barat No 522.3/42/III/2011 tahun 2011 tentang pembentukan SatgasPembangunan Ejonomi Rendah Karbon di Propinsi papua Barat terdapat Ir. Herman Orisu (Policy Coordinator WWF Id Region Sahul) sebagai Ketua Harian Satgas, Mujiyanto (Direktur Eksekutif PERDU di Sub Working Group tata Ruang bersama Rdu Wondiwoy (Direktur Eksekutif Paradisea. Kemudian Ita Natalia (Samdhana Institute), Albert Nebore (CI Raja ampat, dan Lukas Rutemma (The nature Concervasy Raja Ampat) di dalam Sub Working Group KEbijakan dan Hukum</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 LSM yang melakukan monitoring terhadap persiapan dan pelaksanaan REDD+  rendah. Hanya ada PERDU dan SAMDANA</w:t>
            </w:r>
          </w:p>
        </w:tc>
        <w:tc>
          <w:tcPr>
            <w:tcW w:w="1382"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530"/>
        </w:trPr>
        <w:tc>
          <w:tcPr>
            <w:tcW w:w="1139"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544"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vMerge/>
            <w:tcBorders>
              <w:top w:val="nil"/>
              <w:left w:val="single" w:sz="4" w:space="0" w:color="auto"/>
              <w:bottom w:val="single" w:sz="4" w:space="0" w:color="000000"/>
              <w:right w:val="single" w:sz="4" w:space="0" w:color="auto"/>
            </w:tcBorders>
            <w:vAlign w:val="center"/>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4</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Jumlahnya tidak lebih dari 5 LSM. Tapi PERDU sendiri sangat intens tapi terkonsentrasi di Manokwari, Fak-Fak dan Sorong, padahal ada 10 Kabupaten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7068" w:type="dxa"/>
            <w:gridSpan w:val="5"/>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Wawancara – Sumber informasi</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LSM (Pengurus)</w:t>
            </w: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CVIb1</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Keikutsertaan dalam pelatihan</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aktivis LSM memiliki bukti keikutsertaan dalam pelatihan?</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Keikutsertaan aktifis LSM dalam pelatihan kurang karena pelatihannya kurang karena: Inisiatornya sedikit, pemda kurang produktif untuk membuat pelatihan, dan tergantung donor</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510"/>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CVIb2</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Pemahaman mengenai REDD+</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pemahaman aktivis LSM mengenai REDD+ sudah memadai?</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memadai karena adanya beragam pemahaman tentang REDD+ dan sepotong-sepotong</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CVIb3</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Pemahaman terhadap prinsip &amp; prosedur</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pemahaman aktivis LSM terhadap prinsip &amp; prosedur sudah memadai?</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kurang memadai karena belum jelas mekanisme REDD+, apakah UNDP mau kelola sendiri pokja-pokja dan satgas tidak paham prinsip dan prosedur</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CVIb4</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Strategi pelaksanaan monitoring</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strategi pelaksanaan moni-toring sudah memadai?</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LSM</w:t>
            </w:r>
          </w:p>
        </w:tc>
        <w:tc>
          <w:tcPr>
            <w:tcW w:w="1566"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w:t>
            </w:r>
          </w:p>
        </w:tc>
        <w:tc>
          <w:tcPr>
            <w:tcW w:w="1109"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Strategi pelaksanaan monitoring tidak memadai, tidak mungkin bisa monitoring bagus, kalau rencana aksi REDD+ sudah ada, sudah akan disusun tapi tidak disupport dana</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r>
      <w:tr w:rsidR="00911FE9" w:rsidRPr="00911FE9" w:rsidTr="00911FE9">
        <w:trPr>
          <w:trHeight w:val="255"/>
        </w:trPr>
        <w:tc>
          <w:tcPr>
            <w:tcW w:w="1139"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134" w:type="dxa"/>
            <w:tcBorders>
              <w:top w:val="nil"/>
              <w:left w:val="nil"/>
              <w:bottom w:val="nil"/>
              <w:right w:val="nil"/>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44"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001"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566"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c>
          <w:tcPr>
            <w:tcW w:w="2010" w:type="dxa"/>
            <w:tcBorders>
              <w:top w:val="nil"/>
              <w:left w:val="nil"/>
              <w:bottom w:val="nil"/>
              <w:right w:val="nil"/>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113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Indikator</w:t>
            </w:r>
          </w:p>
        </w:tc>
        <w:tc>
          <w:tcPr>
            <w:tcW w:w="113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p>
        </w:tc>
        <w:tc>
          <w:tcPr>
            <w:tcW w:w="5686" w:type="dxa"/>
            <w:gridSpan w:val="4"/>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p>
        </w:tc>
      </w:tr>
      <w:tr w:rsidR="00911FE9" w:rsidRPr="00911FE9" w:rsidTr="00911FE9">
        <w:trPr>
          <w:trHeight w:val="255"/>
        </w:trPr>
        <w:tc>
          <w:tcPr>
            <w:tcW w:w="2273" w:type="dxa"/>
            <w:gridSpan w:val="2"/>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44"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567" w:type="dxa"/>
            <w:gridSpan w:val="2"/>
            <w:tcBorders>
              <w:top w:val="nil"/>
              <w:left w:val="nil"/>
              <w:bottom w:val="nil"/>
              <w:right w:val="nil"/>
            </w:tcBorders>
            <w:shd w:val="clear" w:color="auto" w:fill="auto"/>
            <w:noWrap/>
            <w:hideMark/>
          </w:tcPr>
          <w:p w:rsidR="00911FE9" w:rsidRPr="00911FE9" w:rsidRDefault="00911FE9" w:rsidP="00911FE9">
            <w:pPr>
              <w:spacing w:after="240" w:line="240" w:lineRule="auto"/>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 Artikel/kolom dalam Media Cetak</w:t>
            </w:r>
          </w:p>
        </w:tc>
        <w:tc>
          <w:tcPr>
            <w:tcW w:w="1109"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2010" w:type="dxa"/>
            <w:tcBorders>
              <w:top w:val="nil"/>
              <w:left w:val="nil"/>
              <w:bottom w:val="nil"/>
              <w:right w:val="nil"/>
            </w:tcBorders>
            <w:shd w:val="clear" w:color="auto" w:fill="auto"/>
            <w:noWrap/>
            <w:hideMark/>
          </w:tcPr>
          <w:p w:rsidR="00911FE9" w:rsidRPr="00911FE9" w:rsidRDefault="00911FE9" w:rsidP="00911FE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p>
        </w:tc>
      </w:tr>
      <w:tr w:rsidR="00911FE9" w:rsidRPr="00911FE9" w:rsidTr="00911FE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Kode</w:t>
            </w:r>
          </w:p>
        </w:tc>
        <w:tc>
          <w:tcPr>
            <w:tcW w:w="113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Panduan Analisis Dokumen</w:t>
            </w:r>
          </w:p>
        </w:tc>
        <w:tc>
          <w:tcPr>
            <w:tcW w:w="1544"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Pertanyaan Wawancara</w:t>
            </w:r>
          </w:p>
        </w:tc>
        <w:tc>
          <w:tcPr>
            <w:tcW w:w="1001"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Sumber Data</w:t>
            </w:r>
          </w:p>
        </w:tc>
        <w:tc>
          <w:tcPr>
            <w:tcW w:w="1566"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Dokumen</w:t>
            </w:r>
          </w:p>
        </w:tc>
        <w:tc>
          <w:tcPr>
            <w:tcW w:w="1109"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Dokumen</w:t>
            </w:r>
          </w:p>
        </w:tc>
        <w:tc>
          <w:tcPr>
            <w:tcW w:w="2010"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b/>
                <w:bCs/>
                <w:color w:val="000000"/>
                <w:sz w:val="20"/>
                <w:szCs w:val="20"/>
                <w:lang w:eastAsia="id-ID"/>
              </w:rPr>
            </w:pPr>
            <w:r w:rsidRPr="00911FE9">
              <w:rPr>
                <w:rFonts w:ascii="Times New Roman" w:eastAsia="Times New Roman" w:hAnsi="Times New Roman" w:cs="Times New Roman"/>
                <w:b/>
                <w:bCs/>
                <w:color w:val="000000"/>
                <w:sz w:val="20"/>
                <w:szCs w:val="20"/>
                <w:lang w:eastAsia="id-ID"/>
              </w:rPr>
              <w:t>Kategori Data Wawancara</w:t>
            </w:r>
          </w:p>
        </w:tc>
      </w:tr>
      <w:tr w:rsidR="00911FE9" w:rsidRPr="00911FE9" w:rsidTr="00911FE9">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CVIc1</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 xml:space="preserve">Cakupan berita mengenai persiapan atau pelaksanaan REDD+ </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cakupan berita mengenai persiapan atau pelaksanaan REDD+ sudah memadai?</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dokumentasi</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Cakupan berita mengenai persiapan atau pelaksanaan REDD+ kurang memadai karena sumber informasi kurang. Selain itu aktifis-aktifis lebih banyak soal hak masyarakat. Faktor yang lain adalah kapasitas wartawan yang kurang, tidak banyak yang tahu tentang REDD+.</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CVIc2</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dokumentasi</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Pemberitaan mengenai kepastian hak dan akses bagi masyarakat adat/lokal dalam persiapan atau pelaksanaan REDD+ kurang memadai. Berita mengenai hal ini biasanya ditulis tidak dalam mekanisme REDD+</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1530"/>
        </w:trPr>
        <w:tc>
          <w:tcPr>
            <w:tcW w:w="1139" w:type="dxa"/>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CVIc3</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Posisi berita (letak halaman pemberitaan)</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posisi berita (letak halaman pemberitaan) sudah strategis?</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dokumentasi</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Posisi berita (letak halaman pemberitaan) kurang strategis, karena isu REDD+ masih dilihat sebagai wacana. Pernah dimuat di halaman depan dan dalam fitur kegiatan apabila terkiat dengan implementasi. Biasanya kalau hanya wacana diletakkan di halaman ke 3.</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r w:rsidR="00911FE9" w:rsidRPr="00911FE9" w:rsidTr="00911FE9">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CVIc4</w:t>
            </w:r>
          </w:p>
        </w:tc>
        <w:tc>
          <w:tcPr>
            <w:tcW w:w="113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Posisi media dalam pemberitaan</w:t>
            </w:r>
          </w:p>
        </w:tc>
        <w:tc>
          <w:tcPr>
            <w:tcW w:w="1544"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001"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Jurnalis</w:t>
            </w:r>
          </w:p>
        </w:tc>
        <w:tc>
          <w:tcPr>
            <w:tcW w:w="1566"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tidak ada dokumentasi</w:t>
            </w:r>
          </w:p>
        </w:tc>
        <w:tc>
          <w:tcPr>
            <w:tcW w:w="1109"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1</w:t>
            </w:r>
          </w:p>
        </w:tc>
        <w:tc>
          <w:tcPr>
            <w:tcW w:w="2010" w:type="dxa"/>
            <w:tcBorders>
              <w:top w:val="nil"/>
              <w:left w:val="nil"/>
              <w:bottom w:val="single" w:sz="4" w:space="0" w:color="auto"/>
              <w:right w:val="single" w:sz="4" w:space="0" w:color="auto"/>
            </w:tcBorders>
            <w:shd w:val="clear" w:color="auto" w:fill="auto"/>
            <w:hideMark/>
          </w:tcPr>
          <w:p w:rsidR="00911FE9" w:rsidRPr="00911FE9" w:rsidRDefault="00911FE9" w:rsidP="00911FE9">
            <w:pPr>
              <w:spacing w:after="0" w:line="240" w:lineRule="auto"/>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Posisi media dalam pemberitaan masih belum jelas karena informasi mengenai REDD+ belum sepenuhnya dipahami wartawan</w:t>
            </w:r>
          </w:p>
        </w:tc>
        <w:tc>
          <w:tcPr>
            <w:tcW w:w="1382" w:type="dxa"/>
            <w:tcBorders>
              <w:top w:val="nil"/>
              <w:left w:val="nil"/>
              <w:bottom w:val="single" w:sz="4" w:space="0" w:color="auto"/>
              <w:right w:val="single" w:sz="4" w:space="0" w:color="auto"/>
            </w:tcBorders>
            <w:shd w:val="clear" w:color="auto" w:fill="auto"/>
            <w:noWrap/>
            <w:hideMark/>
          </w:tcPr>
          <w:p w:rsidR="00911FE9" w:rsidRPr="00911FE9" w:rsidRDefault="00911FE9" w:rsidP="00911FE9">
            <w:pPr>
              <w:spacing w:after="0" w:line="240" w:lineRule="auto"/>
              <w:jc w:val="center"/>
              <w:rPr>
                <w:rFonts w:ascii="Times New Roman" w:eastAsia="Times New Roman" w:hAnsi="Times New Roman" w:cs="Times New Roman"/>
                <w:color w:val="000000"/>
                <w:sz w:val="20"/>
                <w:szCs w:val="20"/>
                <w:lang w:eastAsia="id-ID"/>
              </w:rPr>
            </w:pPr>
            <w:r w:rsidRPr="00911FE9">
              <w:rPr>
                <w:rFonts w:ascii="Times New Roman" w:eastAsia="Times New Roman" w:hAnsi="Times New Roman" w:cs="Times New Roman"/>
                <w:color w:val="000000"/>
                <w:sz w:val="20"/>
                <w:szCs w:val="20"/>
                <w:lang w:eastAsia="id-ID"/>
              </w:rPr>
              <w:t>2</w:t>
            </w:r>
          </w:p>
        </w:tc>
      </w:tr>
    </w:tbl>
    <w:p w:rsidR="00911FE9" w:rsidRDefault="00911FE9"/>
    <w:sectPr w:rsidR="00911FE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931C7"/>
    <w:rsid w:val="005D2D3D"/>
    <w:rsid w:val="006E5970"/>
    <w:rsid w:val="00911FE9"/>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911FE9"/>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font6">
    <w:name w:val="font6"/>
    <w:basedOn w:val="Normal"/>
    <w:rsid w:val="00911FE9"/>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111126422">
      <w:bodyDiv w:val="1"/>
      <w:marLeft w:val="0"/>
      <w:marRight w:val="0"/>
      <w:marTop w:val="0"/>
      <w:marBottom w:val="0"/>
      <w:divBdr>
        <w:top w:val="none" w:sz="0" w:space="0" w:color="auto"/>
        <w:left w:val="none" w:sz="0" w:space="0" w:color="auto"/>
        <w:bottom w:val="none" w:sz="0" w:space="0" w:color="auto"/>
        <w:right w:val="none" w:sz="0" w:space="0" w:color="auto"/>
      </w:divBdr>
    </w:div>
    <w:div w:id="191384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21</Pages>
  <Words>6000</Words>
  <Characters>34206</Characters>
  <Application>Microsoft Office Word</Application>
  <DocSecurity>0</DocSecurity>
  <Lines>285</Lines>
  <Paragraphs>80</Paragraphs>
  <ScaleCrop>false</ScaleCrop>
  <Company/>
  <LinksUpToDate>false</LinksUpToDate>
  <CharactersWithSpaces>40126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2012-10-16T09:56:00Z</dcterms:modified>
</cp:coreProperties>
</file>